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B62" w:rsidRPr="00824B62" w:rsidRDefault="00824B62" w:rsidP="00824B62">
      <w:pPr>
        <w:pStyle w:val="NormalWeb"/>
        <w:ind w:left="-142" w:right="402"/>
        <w:rPr>
          <w:rFonts w:ascii="Arial" w:hAnsi="Arial" w:cs="Arial"/>
          <w:sz w:val="22"/>
          <w:szCs w:val="22"/>
        </w:rPr>
      </w:pPr>
      <w:r w:rsidRPr="00824B62">
        <w:rPr>
          <w:rFonts w:ascii="Arial" w:hAnsi="Arial" w:cs="Arial"/>
          <w:sz w:val="22"/>
          <w:szCs w:val="22"/>
        </w:rPr>
        <w:t xml:space="preserve">When preparing a new or variation application for a premises licence or club premises certificate applicants are required to describe the steps they intend to take to promote the licensing objectives. North Devon Council has produced a </w:t>
      </w:r>
      <w:hyperlink r:id="rId5" w:history="1">
        <w:r w:rsidR="003F1475" w:rsidRPr="003F1475">
          <w:rPr>
            <w:rStyle w:val="Hyperlink"/>
            <w:rFonts w:ascii="Arial" w:hAnsi="Arial" w:cs="Arial"/>
            <w:sz w:val="22"/>
            <w:szCs w:val="22"/>
          </w:rPr>
          <w:t>pool of licensing conditions</w:t>
        </w:r>
      </w:hyperlink>
      <w:r w:rsidRPr="00824B62">
        <w:rPr>
          <w:rFonts w:ascii="Arial" w:hAnsi="Arial" w:cs="Arial"/>
          <w:color w:val="FF0000"/>
          <w:sz w:val="22"/>
          <w:szCs w:val="22"/>
        </w:rPr>
        <w:t xml:space="preserve"> </w:t>
      </w:r>
      <w:r w:rsidRPr="00824B62">
        <w:rPr>
          <w:rFonts w:ascii="Arial" w:hAnsi="Arial" w:cs="Arial"/>
          <w:sz w:val="22"/>
          <w:szCs w:val="22"/>
        </w:rPr>
        <w:t xml:space="preserve">to assist applicants in completing this section of their application and </w:t>
      </w:r>
      <w:r w:rsidRPr="00824B62">
        <w:rPr>
          <w:rFonts w:ascii="Arial" w:hAnsi="Arial" w:cs="Arial"/>
          <w:sz w:val="22"/>
          <w:szCs w:val="22"/>
          <w:lang w:val="en"/>
        </w:rPr>
        <w:t>to promote a consistent approach</w:t>
      </w:r>
      <w:r>
        <w:rPr>
          <w:rFonts w:ascii="Arial" w:hAnsi="Arial" w:cs="Arial"/>
          <w:sz w:val="22"/>
          <w:szCs w:val="22"/>
          <w:lang w:val="en"/>
        </w:rPr>
        <w:t xml:space="preserve"> in the wording of conditions. The document covers </w:t>
      </w:r>
      <w:r w:rsidRPr="00824B62">
        <w:rPr>
          <w:rFonts w:ascii="Arial" w:hAnsi="Arial" w:cs="Arial"/>
          <w:sz w:val="22"/>
          <w:szCs w:val="22"/>
        </w:rPr>
        <w:t>a broad range of conditions, however those persons wishing to host large one off events e.g. festivals are alternatively recommended to examine the Council’s</w:t>
      </w:r>
      <w:r>
        <w:rPr>
          <w:rFonts w:ascii="Arial" w:hAnsi="Arial" w:cs="Arial"/>
          <w:sz w:val="22"/>
          <w:szCs w:val="22"/>
        </w:rPr>
        <w:t xml:space="preserve"> </w:t>
      </w:r>
      <w:hyperlink r:id="rId6" w:history="1">
        <w:r w:rsidRPr="003F1475">
          <w:rPr>
            <w:rStyle w:val="Hyperlink"/>
            <w:rFonts w:ascii="Arial" w:hAnsi="Arial" w:cs="Arial"/>
            <w:sz w:val="22"/>
            <w:szCs w:val="22"/>
          </w:rPr>
          <w:t>Safety Advisory Group</w:t>
        </w:r>
      </w:hyperlink>
      <w:r w:rsidRPr="00824B62">
        <w:rPr>
          <w:rFonts w:ascii="Arial" w:hAnsi="Arial" w:cs="Arial"/>
          <w:color w:val="FF0000"/>
          <w:sz w:val="22"/>
          <w:szCs w:val="22"/>
        </w:rPr>
        <w:t xml:space="preserve"> </w:t>
      </w:r>
      <w:r>
        <w:rPr>
          <w:rFonts w:ascii="Arial" w:hAnsi="Arial" w:cs="Arial"/>
          <w:sz w:val="22"/>
          <w:szCs w:val="22"/>
        </w:rPr>
        <w:t>webpage.</w:t>
      </w:r>
    </w:p>
    <w:p w:rsidR="00824B62" w:rsidRPr="00824B62" w:rsidRDefault="00824B62" w:rsidP="00824B62">
      <w:pPr>
        <w:pStyle w:val="Default"/>
        <w:ind w:left="-142" w:right="402"/>
        <w:rPr>
          <w:rFonts w:ascii="Arial" w:hAnsi="Arial" w:cs="Arial"/>
          <w:sz w:val="22"/>
          <w:szCs w:val="22"/>
        </w:rPr>
      </w:pPr>
      <w:r w:rsidRPr="00824B62">
        <w:rPr>
          <w:rFonts w:ascii="Arial" w:hAnsi="Arial" w:cs="Arial"/>
          <w:sz w:val="22"/>
          <w:szCs w:val="22"/>
        </w:rPr>
        <w:t>All premises licences and club premise</w:t>
      </w:r>
      <w:r>
        <w:rPr>
          <w:rFonts w:ascii="Arial" w:hAnsi="Arial" w:cs="Arial"/>
          <w:sz w:val="22"/>
          <w:szCs w:val="22"/>
        </w:rPr>
        <w:t>s</w:t>
      </w:r>
      <w:r w:rsidRPr="00824B62">
        <w:rPr>
          <w:rFonts w:ascii="Arial" w:hAnsi="Arial" w:cs="Arial"/>
          <w:sz w:val="22"/>
          <w:szCs w:val="22"/>
        </w:rPr>
        <w:t xml:space="preserve"> certificates will be subject of </w:t>
      </w:r>
      <w:hyperlink r:id="rId7" w:history="1">
        <w:r w:rsidRPr="003F1475">
          <w:rPr>
            <w:rStyle w:val="Hyperlink"/>
            <w:rFonts w:ascii="Arial" w:hAnsi="Arial" w:cs="Arial"/>
            <w:sz w:val="22"/>
            <w:szCs w:val="22"/>
          </w:rPr>
          <w:t>mandatory conditions</w:t>
        </w:r>
      </w:hyperlink>
      <w:r w:rsidRPr="00824B62">
        <w:rPr>
          <w:rFonts w:ascii="Arial" w:hAnsi="Arial" w:cs="Arial"/>
          <w:color w:val="FF0000"/>
          <w:sz w:val="22"/>
          <w:szCs w:val="22"/>
        </w:rPr>
        <w:t xml:space="preserve"> </w:t>
      </w:r>
      <w:r w:rsidRPr="00824B62">
        <w:rPr>
          <w:rFonts w:ascii="Arial" w:hAnsi="Arial" w:cs="Arial"/>
          <w:sz w:val="22"/>
          <w:szCs w:val="22"/>
        </w:rPr>
        <w:t>prescribed by the Licensing Act 2003</w:t>
      </w:r>
      <w:r w:rsidRPr="00824B62">
        <w:rPr>
          <w:rFonts w:ascii="Arial" w:hAnsi="Arial" w:cs="Arial"/>
          <w:color w:val="auto"/>
          <w:sz w:val="22"/>
          <w:szCs w:val="22"/>
        </w:rPr>
        <w:t>.</w:t>
      </w:r>
      <w:r w:rsidRPr="00824B62">
        <w:rPr>
          <w:rFonts w:ascii="Arial" w:hAnsi="Arial" w:cs="Arial"/>
          <w:sz w:val="22"/>
          <w:szCs w:val="22"/>
        </w:rPr>
        <w:t xml:space="preserve"> All further conditions imposed </w:t>
      </w:r>
      <w:r w:rsidRPr="00824B62">
        <w:rPr>
          <w:rFonts w:ascii="Arial" w:hAnsi="Arial" w:cs="Arial"/>
          <w:sz w:val="22"/>
          <w:szCs w:val="22"/>
          <w:lang w:val="en"/>
        </w:rPr>
        <w:t>should be tailored to the particular circumstances of an individual premises and determined on a case-by-case basis. They should</w:t>
      </w:r>
      <w:r w:rsidRPr="00824B62">
        <w:rPr>
          <w:rFonts w:ascii="Arial" w:hAnsi="Arial" w:cs="Arial"/>
          <w:sz w:val="22"/>
          <w:szCs w:val="22"/>
        </w:rPr>
        <w:t xml:space="preserve"> reflect how applicants will promote these licensing objectives having regard to the nature and type of venue, proposed licensable activities, location, operating times, anticipated clientele etc. For example, if an application relates to a restaurant, the measures or controls expected to</w:t>
      </w:r>
      <w:r w:rsidR="00CC2250">
        <w:rPr>
          <w:rFonts w:ascii="Arial" w:hAnsi="Arial" w:cs="Arial"/>
          <w:sz w:val="22"/>
          <w:szCs w:val="22"/>
        </w:rPr>
        <w:t xml:space="preserve"> be</w:t>
      </w:r>
      <w:r w:rsidRPr="00824B62">
        <w:rPr>
          <w:rFonts w:ascii="Arial" w:hAnsi="Arial" w:cs="Arial"/>
          <w:sz w:val="22"/>
          <w:szCs w:val="22"/>
        </w:rPr>
        <w:t xml:space="preserve"> implemented will be less than a nightclub or music festival.</w:t>
      </w:r>
    </w:p>
    <w:p w:rsidR="00824B62" w:rsidRPr="00824B62" w:rsidRDefault="00824B62" w:rsidP="00824B62">
      <w:pPr>
        <w:pStyle w:val="NormalWeb"/>
        <w:shd w:val="clear" w:color="auto" w:fill="FFFFFF"/>
        <w:ind w:left="-142" w:right="402"/>
        <w:rPr>
          <w:rFonts w:ascii="Arial" w:hAnsi="Arial" w:cs="Arial"/>
          <w:sz w:val="22"/>
          <w:szCs w:val="22"/>
        </w:rPr>
      </w:pPr>
      <w:r w:rsidRPr="00824B62">
        <w:rPr>
          <w:rFonts w:ascii="Arial" w:hAnsi="Arial" w:cs="Arial"/>
          <w:sz w:val="22"/>
          <w:szCs w:val="22"/>
        </w:rPr>
        <w:t xml:space="preserve">Any conditions, controls or restrictions that are offered by applicants in their operating schedule will be added to a licence or certificate and as such will govern the way in which licensed premises are managed. In the circumstances where words or phrases used in an operating schedule are confusing, unenforceable etc., rather than reproducing those terms, minor amendments may be made by the Licensing Authority. Furthermore the Licensing Authority will not impose conditions which it believes are duplicated in other legislation. </w:t>
      </w:r>
    </w:p>
    <w:p w:rsidR="00824B62" w:rsidRPr="00824B62" w:rsidRDefault="00824B62" w:rsidP="00824B62">
      <w:pPr>
        <w:pStyle w:val="NormalWeb"/>
        <w:ind w:left="-142" w:right="402"/>
        <w:rPr>
          <w:rFonts w:ascii="Arial" w:hAnsi="Arial" w:cs="Arial"/>
          <w:sz w:val="22"/>
          <w:szCs w:val="22"/>
        </w:rPr>
      </w:pPr>
      <w:r>
        <w:rPr>
          <w:rFonts w:ascii="Arial" w:hAnsi="Arial" w:cs="Arial"/>
          <w:sz w:val="22"/>
          <w:szCs w:val="22"/>
        </w:rPr>
        <w:t>The</w:t>
      </w:r>
      <w:r w:rsidRPr="00824B62">
        <w:rPr>
          <w:rFonts w:ascii="Arial" w:hAnsi="Arial" w:cs="Arial"/>
          <w:sz w:val="22"/>
          <w:szCs w:val="22"/>
        </w:rPr>
        <w:t xml:space="preserve"> pool of conditions is not intended to form </w:t>
      </w:r>
      <w:r w:rsidRPr="00824B62">
        <w:rPr>
          <w:rFonts w:ascii="Arial" w:hAnsi="Arial" w:cs="Arial"/>
          <w:sz w:val="22"/>
          <w:szCs w:val="22"/>
          <w:lang w:val="en"/>
        </w:rPr>
        <w:t>an exclusive or exhaustive list of conditions</w:t>
      </w:r>
      <w:r>
        <w:rPr>
          <w:rFonts w:ascii="Arial" w:hAnsi="Arial" w:cs="Arial"/>
          <w:sz w:val="22"/>
          <w:szCs w:val="22"/>
          <w:lang w:val="en"/>
        </w:rPr>
        <w:t>. It does it</w:t>
      </w:r>
      <w:r w:rsidRPr="00824B62">
        <w:rPr>
          <w:rFonts w:ascii="Arial" w:hAnsi="Arial" w:cs="Arial"/>
          <w:sz w:val="22"/>
          <w:szCs w:val="22"/>
          <w:lang w:val="en"/>
        </w:rPr>
        <w:t xml:space="preserve"> restrict any applicant, responsible authority, or other person from proposing any alternative conditions,</w:t>
      </w:r>
      <w:r>
        <w:rPr>
          <w:rFonts w:ascii="Arial" w:hAnsi="Arial" w:cs="Arial"/>
          <w:sz w:val="22"/>
          <w:szCs w:val="22"/>
          <w:lang w:val="en"/>
        </w:rPr>
        <w:t xml:space="preserve"> and</w:t>
      </w:r>
      <w:r w:rsidRPr="00824B62">
        <w:rPr>
          <w:rFonts w:ascii="Arial" w:hAnsi="Arial" w:cs="Arial"/>
          <w:sz w:val="22"/>
          <w:szCs w:val="22"/>
          <w:lang w:val="en"/>
        </w:rPr>
        <w:t xml:space="preserve"> nor does it restrict the Council’s Licensing Sub-Committee from imposing any reasonable condition on a </w:t>
      </w:r>
      <w:proofErr w:type="spellStart"/>
      <w:r w:rsidRPr="00824B62">
        <w:rPr>
          <w:rFonts w:ascii="Arial" w:hAnsi="Arial" w:cs="Arial"/>
          <w:sz w:val="22"/>
          <w:szCs w:val="22"/>
          <w:lang w:val="en"/>
        </w:rPr>
        <w:t>licence</w:t>
      </w:r>
      <w:proofErr w:type="spellEnd"/>
      <w:r w:rsidRPr="00824B62">
        <w:rPr>
          <w:rFonts w:ascii="Arial" w:hAnsi="Arial" w:cs="Arial"/>
          <w:sz w:val="22"/>
          <w:szCs w:val="22"/>
          <w:lang w:val="en"/>
        </w:rPr>
        <w:t xml:space="preserve"> it considers appropriate for the promotion of the licensing objectives (after representations have been received to an application and by way of a hearing).</w:t>
      </w:r>
      <w:r w:rsidRPr="00824B62">
        <w:rPr>
          <w:rFonts w:ascii="Arial" w:hAnsi="Arial" w:cs="Arial"/>
          <w:sz w:val="22"/>
          <w:szCs w:val="22"/>
        </w:rPr>
        <w:t xml:space="preserve"> </w:t>
      </w:r>
    </w:p>
    <w:p w:rsidR="00824B62" w:rsidRPr="00824B62" w:rsidRDefault="00824B62" w:rsidP="00824B62">
      <w:pPr>
        <w:pStyle w:val="NormalWeb"/>
        <w:ind w:left="-142" w:right="402"/>
        <w:rPr>
          <w:rFonts w:ascii="Arial" w:hAnsi="Arial" w:cs="Arial"/>
          <w:sz w:val="22"/>
          <w:szCs w:val="22"/>
        </w:rPr>
      </w:pPr>
      <w:r w:rsidRPr="00824B62">
        <w:rPr>
          <w:rFonts w:ascii="Arial" w:hAnsi="Arial" w:cs="Arial"/>
          <w:sz w:val="22"/>
          <w:szCs w:val="22"/>
        </w:rPr>
        <w:t xml:space="preserve">Before an application is submitted we recommend that applicants contact any relevant </w:t>
      </w:r>
      <w:hyperlink r:id="rId8" w:history="1">
        <w:r w:rsidRPr="003F1475">
          <w:rPr>
            <w:rStyle w:val="Hyperlink"/>
            <w:rFonts w:ascii="Arial" w:hAnsi="Arial" w:cs="Arial"/>
            <w:sz w:val="22"/>
            <w:szCs w:val="22"/>
          </w:rPr>
          <w:t>responsible authorities</w:t>
        </w:r>
      </w:hyperlink>
      <w:r w:rsidRPr="00824B62">
        <w:rPr>
          <w:rFonts w:ascii="Arial" w:hAnsi="Arial" w:cs="Arial"/>
          <w:color w:val="FF0000"/>
          <w:sz w:val="22"/>
          <w:szCs w:val="22"/>
        </w:rPr>
        <w:t xml:space="preserve"> </w:t>
      </w:r>
      <w:r w:rsidRPr="00824B62">
        <w:rPr>
          <w:rFonts w:ascii="Arial" w:hAnsi="Arial" w:cs="Arial"/>
          <w:sz w:val="22"/>
          <w:szCs w:val="22"/>
        </w:rPr>
        <w:t>to discuss their application. They may suggest conditions that s</w:t>
      </w:r>
      <w:bookmarkStart w:id="0" w:name="_GoBack"/>
      <w:bookmarkEnd w:id="0"/>
      <w:r w:rsidRPr="00824B62">
        <w:rPr>
          <w:rFonts w:ascii="Arial" w:hAnsi="Arial" w:cs="Arial"/>
          <w:sz w:val="22"/>
          <w:szCs w:val="22"/>
        </w:rPr>
        <w:t xml:space="preserve">hould be considered prior to submission, which may reduce the likelihood of a responsible authority or member of the public submitting a representation (objection). </w:t>
      </w:r>
    </w:p>
    <w:p w:rsidR="00824B62" w:rsidRPr="00824B62" w:rsidRDefault="00824B62" w:rsidP="00824B62">
      <w:pPr>
        <w:pStyle w:val="NormalWeb"/>
        <w:ind w:left="-142" w:right="402"/>
        <w:rPr>
          <w:rFonts w:ascii="Arial" w:hAnsi="Arial" w:cs="Arial"/>
          <w:color w:val="000000"/>
          <w:sz w:val="22"/>
          <w:szCs w:val="22"/>
        </w:rPr>
      </w:pPr>
      <w:r w:rsidRPr="00824B62">
        <w:rPr>
          <w:rFonts w:ascii="Arial" w:hAnsi="Arial" w:cs="Arial"/>
          <w:sz w:val="22"/>
          <w:szCs w:val="22"/>
        </w:rPr>
        <w:t xml:space="preserve">Additional information on conditions can be found in the </w:t>
      </w:r>
      <w:hyperlink r:id="rId9" w:history="1">
        <w:r w:rsidRPr="003F1475">
          <w:rPr>
            <w:rStyle w:val="Hyperlink"/>
            <w:rFonts w:ascii="Arial" w:hAnsi="Arial" w:cs="Arial"/>
            <w:sz w:val="22"/>
            <w:szCs w:val="22"/>
          </w:rPr>
          <w:t>Section 182 guidance</w:t>
        </w:r>
      </w:hyperlink>
      <w:r w:rsidRPr="00824B62">
        <w:rPr>
          <w:rFonts w:ascii="Arial" w:hAnsi="Arial" w:cs="Arial"/>
          <w:color w:val="FF0000"/>
          <w:sz w:val="22"/>
          <w:szCs w:val="22"/>
        </w:rPr>
        <w:t xml:space="preserve"> </w:t>
      </w:r>
      <w:r w:rsidRPr="00824B62">
        <w:rPr>
          <w:rFonts w:ascii="Arial" w:hAnsi="Arial" w:cs="Arial"/>
          <w:sz w:val="22"/>
          <w:szCs w:val="22"/>
        </w:rPr>
        <w:t xml:space="preserve">to the Licensing Act 2003. </w:t>
      </w:r>
    </w:p>
    <w:p w:rsidR="008103D2" w:rsidRDefault="008103D2"/>
    <w:sectPr w:rsidR="008103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E5486"/>
    <w:multiLevelType w:val="multilevel"/>
    <w:tmpl w:val="A3D48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B62"/>
    <w:rsid w:val="002117D0"/>
    <w:rsid w:val="003F1475"/>
    <w:rsid w:val="008103D2"/>
    <w:rsid w:val="00824B62"/>
    <w:rsid w:val="00C14091"/>
    <w:rsid w:val="00CC2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F7BBAD-A98A-4400-BA30-A2406AEC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4B62"/>
    <w:pPr>
      <w:autoSpaceDE w:val="0"/>
      <w:autoSpaceDN w:val="0"/>
      <w:adjustRightInd w:val="0"/>
      <w:spacing w:after="0" w:line="240" w:lineRule="auto"/>
    </w:pPr>
    <w:rPr>
      <w:rFonts w:ascii="Gill Sans MT" w:hAnsi="Gill Sans MT" w:cs="Gill Sans MT"/>
      <w:color w:val="000000"/>
      <w:sz w:val="24"/>
      <w:szCs w:val="24"/>
    </w:rPr>
  </w:style>
  <w:style w:type="character" w:styleId="Hyperlink">
    <w:name w:val="Hyperlink"/>
    <w:basedOn w:val="DefaultParagraphFont"/>
    <w:uiPriority w:val="99"/>
    <w:unhideWhenUsed/>
    <w:rsid w:val="00824B62"/>
    <w:rPr>
      <w:color w:val="0000FF" w:themeColor="hyperlink"/>
      <w:u w:val="single"/>
    </w:rPr>
  </w:style>
  <w:style w:type="paragraph" w:styleId="NormalWeb">
    <w:name w:val="Normal (Web)"/>
    <w:basedOn w:val="Normal"/>
    <w:uiPriority w:val="99"/>
    <w:unhideWhenUsed/>
    <w:rsid w:val="00824B62"/>
    <w:pPr>
      <w:spacing w:before="240" w:after="24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F1475"/>
    <w:rPr>
      <w:color w:val="800080" w:themeColor="followedHyperlink"/>
      <w:u w:val="single"/>
    </w:rPr>
  </w:style>
  <w:style w:type="paragraph" w:styleId="BalloonText">
    <w:name w:val="Balloon Text"/>
    <w:basedOn w:val="Normal"/>
    <w:link w:val="BalloonTextChar"/>
    <w:uiPriority w:val="99"/>
    <w:semiHidden/>
    <w:unhideWhenUsed/>
    <w:rsid w:val="00CC2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2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devon.gov.uk/media/378110/la03-responsible-authorities-list-december-17.pdf" TargetMode="External"/><Relationship Id="rId3" Type="http://schemas.openxmlformats.org/officeDocument/2006/relationships/settings" Target="settings.xml"/><Relationship Id="rId7" Type="http://schemas.openxmlformats.org/officeDocument/2006/relationships/hyperlink" Target="http://www.northdevon.gov.uk/media/165944/la03__mandatory_licensing_conditions_order__201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devon.gov.uk/business/licences-and-permits/safety-advisory-group-sag/" TargetMode="External"/><Relationship Id="rId11" Type="http://schemas.openxmlformats.org/officeDocument/2006/relationships/theme" Target="theme/theme1.xml"/><Relationship Id="rId5" Type="http://schemas.openxmlformats.org/officeDocument/2006/relationships/hyperlink" Target="http://www.northdevon.gov.uk/media/377630/ndc-conditions-guidance.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705588/Revised_guidance_issued_under_section_182_of_the_Licensing_Act_2003__April_2018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5BBCEDF3</Template>
  <TotalTime>15</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 Devon Council</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Nicholls</dc:creator>
  <cp:lastModifiedBy>Shirley Loder</cp:lastModifiedBy>
  <cp:revision>4</cp:revision>
  <cp:lastPrinted>2018-06-12T09:57:00Z</cp:lastPrinted>
  <dcterms:created xsi:type="dcterms:W3CDTF">2016-12-21T15:04:00Z</dcterms:created>
  <dcterms:modified xsi:type="dcterms:W3CDTF">2018-06-12T09:59:00Z</dcterms:modified>
</cp:coreProperties>
</file>